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B617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Innenputze – Kalkputz</w:t>
      </w:r>
      <w:r w:rsidR="002346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151D9">
        <w:rPr>
          <w:rFonts w:ascii="Arial" w:hAnsi="Arial" w:cs="Arial"/>
          <w:b/>
          <w:sz w:val="24"/>
          <w:szCs w:val="24"/>
          <w:u w:val="single"/>
        </w:rPr>
        <w:t>Terra KP Terra</w:t>
      </w:r>
    </w:p>
    <w:p w14:paraId="4DF435BF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2CBEAC5E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C151D9" w:rsidRPr="007A704A" w14:paraId="62F353C7" w14:textId="77777777" w:rsidTr="00942ED9">
        <w:tc>
          <w:tcPr>
            <w:tcW w:w="7054" w:type="dxa"/>
          </w:tcPr>
          <w:p w14:paraId="29E75B0E" w14:textId="77777777" w:rsidR="00C151D9" w:rsidRPr="0086035D" w:rsidRDefault="00C151D9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35D">
              <w:rPr>
                <w:rFonts w:ascii="Arial" w:hAnsi="Arial" w:cs="Arial"/>
                <w:b/>
                <w:sz w:val="20"/>
                <w:szCs w:val="20"/>
              </w:rPr>
              <w:t>Kalkputz Terra</w:t>
            </w:r>
          </w:p>
          <w:p w14:paraId="2B9CF7D0" w14:textId="77777777" w:rsidR="00C151D9" w:rsidRPr="0086035D" w:rsidRDefault="00C151D9" w:rsidP="00942E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DBA43B" w14:textId="77777777" w:rsidR="00C151D9" w:rsidRPr="0086035D" w:rsidRDefault="00C151D9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35D">
              <w:rPr>
                <w:rFonts w:ascii="Arial" w:hAnsi="Arial" w:cs="Arial"/>
                <w:b/>
                <w:sz w:val="20"/>
                <w:szCs w:val="20"/>
              </w:rPr>
              <w:t>Vorlegen mit Kalkputz Terra</w:t>
            </w:r>
          </w:p>
          <w:p w14:paraId="683831B7" w14:textId="77777777" w:rsidR="00667C69" w:rsidRPr="00667C69" w:rsidRDefault="00667C69" w:rsidP="00667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C69">
              <w:rPr>
                <w:rFonts w:ascii="Arial" w:hAnsi="Arial" w:cs="Arial"/>
                <w:sz w:val="20"/>
                <w:szCs w:val="20"/>
              </w:rPr>
              <w:t xml:space="preserve">Aufbringen einer Haftbrücke aus Gips- und Portlandzement-freien, tonveredelten Kalk-Maschinenputz mit mineralischen Leichtzuschlägen der Kategorie LW CS I Wc0 (DIN EN 998-1) auf den saugenden und </w:t>
            </w:r>
            <w:proofErr w:type="spellStart"/>
            <w:r w:rsidRPr="00667C69">
              <w:rPr>
                <w:rFonts w:ascii="Arial" w:hAnsi="Arial" w:cs="Arial"/>
                <w:sz w:val="20"/>
                <w:szCs w:val="20"/>
              </w:rPr>
              <w:t>vorgenässten</w:t>
            </w:r>
            <w:proofErr w:type="spellEnd"/>
            <w:r w:rsidRPr="00667C69">
              <w:rPr>
                <w:rFonts w:ascii="Arial" w:hAnsi="Arial" w:cs="Arial"/>
                <w:sz w:val="20"/>
                <w:szCs w:val="20"/>
              </w:rPr>
              <w:t xml:space="preserve"> Untergrund einen Tag vor Auftrag des Grundputzes aufbringen und horizontal aufziehen.</w:t>
            </w:r>
          </w:p>
          <w:p w14:paraId="4ED821DB" w14:textId="77777777" w:rsidR="00667C69" w:rsidRDefault="00667C69" w:rsidP="00667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35213994"/>
            <w:bookmarkStart w:id="1" w:name="_Hlk135214065"/>
          </w:p>
          <w:p w14:paraId="5497A95F" w14:textId="77777777" w:rsidR="00667C69" w:rsidRPr="00667C69" w:rsidRDefault="00667C69" w:rsidP="00667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C69">
              <w:rPr>
                <w:rFonts w:ascii="Arial" w:hAnsi="Arial" w:cs="Arial"/>
                <w:sz w:val="20"/>
                <w:szCs w:val="20"/>
              </w:rPr>
              <w:t>Umweltanforderung: Hinsichtlich der Transportwege und CO2-Emissionen ist ein regionales Produkt, zum Beispiel aus niederbayerischem Jurakalk, zu bevorzugen.</w:t>
            </w:r>
            <w:bookmarkEnd w:id="0"/>
            <w:r w:rsidRPr="00667C69">
              <w:rPr>
                <w:rFonts w:ascii="Arial" w:hAnsi="Arial" w:cs="Arial"/>
                <w:sz w:val="20"/>
                <w:szCs w:val="20"/>
              </w:rPr>
              <w:t xml:space="preserve"> Produkt mit Prüfsiegel des Instituts für Baubiologie Rosenheim GmbH (IBR) oder vergleichbarem Prüfsiegel. </w:t>
            </w:r>
          </w:p>
          <w:bookmarkEnd w:id="1"/>
          <w:p w14:paraId="73E87389" w14:textId="77777777" w:rsidR="00C151D9" w:rsidRPr="0086035D" w:rsidRDefault="00C151D9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Standzeit 1 Tag</w:t>
            </w:r>
          </w:p>
          <w:p w14:paraId="55C0E8D4" w14:textId="77777777" w:rsidR="00740F20" w:rsidRDefault="00740F20" w:rsidP="00740F2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6008A042" w14:textId="2CA875EE" w:rsidR="00740F20" w:rsidRPr="00740F20" w:rsidRDefault="00740F20" w:rsidP="00740F2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40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37A5483B" w14:textId="77777777" w:rsidR="00C151D9" w:rsidRPr="0086035D" w:rsidRDefault="00C151D9" w:rsidP="00942ED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D0C3D8" w14:textId="77777777" w:rsidR="00C151D9" w:rsidRPr="0086035D" w:rsidRDefault="00C151D9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60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 w:rsidRPr="00860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RYGOL </w:t>
            </w:r>
            <w:r w:rsidRPr="00860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Kalkputz Terra KP Terra</w:t>
            </w:r>
          </w:p>
          <w:p w14:paraId="15F60917" w14:textId="77777777" w:rsidR="00C151D9" w:rsidRPr="0086035D" w:rsidRDefault="00C151D9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AC7861C" w14:textId="77777777" w:rsidR="00C151D9" w:rsidRPr="0086035D" w:rsidRDefault="00C151D9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Einheit</w:t>
            </w:r>
            <w:r w:rsidRPr="0086035D">
              <w:rPr>
                <w:rFonts w:ascii="Arial" w:hAnsi="Arial" w:cs="Arial"/>
                <w:sz w:val="20"/>
                <w:szCs w:val="20"/>
              </w:rPr>
              <w:tab/>
            </w:r>
            <w:r w:rsidRPr="0086035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86035D">
              <w:rPr>
                <w:rFonts w:ascii="Arial" w:hAnsi="Arial" w:cs="Arial"/>
                <w:sz w:val="20"/>
                <w:szCs w:val="20"/>
              </w:rPr>
              <w:t>²</w:t>
            </w:r>
          </w:p>
          <w:p w14:paraId="73708FF9" w14:textId="77777777" w:rsidR="00C151D9" w:rsidRPr="0086035D" w:rsidRDefault="00C151D9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503F50" w14:textId="77777777" w:rsidR="00C151D9" w:rsidRPr="0086035D" w:rsidRDefault="00C151D9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6035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86035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86035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6199C3A4" w14:textId="77777777" w:rsidR="00C151D9" w:rsidRPr="0086035D" w:rsidRDefault="00C151D9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151D9" w:rsidRPr="007A704A" w14:paraId="5EAE6341" w14:textId="77777777" w:rsidTr="00942ED9">
        <w:tc>
          <w:tcPr>
            <w:tcW w:w="7054" w:type="dxa"/>
          </w:tcPr>
          <w:p w14:paraId="2BE1D408" w14:textId="77777777" w:rsidR="00C151D9" w:rsidRPr="007A704A" w:rsidRDefault="00C151D9" w:rsidP="0094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11900F7A" w14:textId="77777777" w:rsidR="00C151D9" w:rsidRPr="007A704A" w:rsidRDefault="00C151D9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151D9" w:rsidRPr="007A704A" w14:paraId="38FA19FA" w14:textId="77777777" w:rsidTr="00942ED9">
        <w:tc>
          <w:tcPr>
            <w:tcW w:w="7054" w:type="dxa"/>
          </w:tcPr>
          <w:p w14:paraId="1D90D645" w14:textId="77777777" w:rsidR="00740F20" w:rsidRDefault="00740F20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2ADB2" w14:textId="725AB9A5" w:rsidR="00C151D9" w:rsidRPr="005905F0" w:rsidRDefault="00667C69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Grundputz</w:t>
            </w:r>
            <w:r w:rsidR="00C151D9" w:rsidRPr="005905F0">
              <w:rPr>
                <w:rFonts w:ascii="Arial" w:hAnsi="Arial" w:cs="Arial"/>
                <w:b/>
                <w:sz w:val="20"/>
                <w:szCs w:val="20"/>
              </w:rPr>
              <w:t xml:space="preserve"> Kalkputz Terra</w:t>
            </w:r>
          </w:p>
          <w:p w14:paraId="446E73E2" w14:textId="77777777" w:rsidR="00C151D9" w:rsidRPr="005905F0" w:rsidRDefault="00C151D9" w:rsidP="00942E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C60865B" w14:textId="77777777" w:rsidR="00667C69" w:rsidRPr="00667C69" w:rsidRDefault="00667C69" w:rsidP="00667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C69">
              <w:rPr>
                <w:rFonts w:ascii="Arial" w:hAnsi="Arial" w:cs="Arial"/>
                <w:sz w:val="20"/>
                <w:szCs w:val="20"/>
              </w:rPr>
              <w:t>Aufbringen eines Gips- und Portlandzement-freien, tonveredelten Kalk-Maschinenputzes mit mineralischen Leichtzuschlägen als Grundputz.</w:t>
            </w:r>
          </w:p>
          <w:p w14:paraId="7E0F486A" w14:textId="77777777" w:rsidR="00667C69" w:rsidRPr="00667C69" w:rsidRDefault="00667C69" w:rsidP="00667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C69">
              <w:rPr>
                <w:rFonts w:ascii="Arial" w:hAnsi="Arial" w:cs="Arial"/>
                <w:sz w:val="20"/>
                <w:szCs w:val="20"/>
              </w:rPr>
              <w:t xml:space="preserve">Putz der Kategorie LW CS I Wc0 (DIN EN 998-1) Leichtputz Typ I einlagig in mind. 10 bis 15 mm Dicke oder nass in nass in zwei Arbeitsgängen auf den vorbereiteten und tragfähigen Untergrund auftragen. Oberfläche eben und fluchtgerecht verziehen und nach dem </w:t>
            </w:r>
            <w:proofErr w:type="spellStart"/>
            <w:r w:rsidRPr="00667C69">
              <w:rPr>
                <w:rFonts w:ascii="Arial" w:hAnsi="Arial" w:cs="Arial"/>
                <w:sz w:val="20"/>
                <w:szCs w:val="20"/>
              </w:rPr>
              <w:t>Ansteifen</w:t>
            </w:r>
            <w:proofErr w:type="spellEnd"/>
            <w:r w:rsidRPr="00667C69">
              <w:rPr>
                <w:rFonts w:ascii="Arial" w:hAnsi="Arial" w:cs="Arial"/>
                <w:sz w:val="20"/>
                <w:szCs w:val="20"/>
              </w:rPr>
              <w:t xml:space="preserve"> mit der Schwammscheibe aufreißen und sauber filzen.</w:t>
            </w:r>
          </w:p>
          <w:p w14:paraId="2B5A1846" w14:textId="77777777" w:rsidR="00667C69" w:rsidRDefault="00667C69" w:rsidP="00667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20262" w14:textId="77777777" w:rsidR="00667C69" w:rsidRPr="00667C69" w:rsidRDefault="00667C69" w:rsidP="00667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C69">
              <w:rPr>
                <w:rFonts w:ascii="Arial" w:hAnsi="Arial" w:cs="Arial"/>
                <w:sz w:val="20"/>
                <w:szCs w:val="20"/>
              </w:rPr>
              <w:t>Umweltanforderung: Hinsichtlich der Transportwege und CO2-Emissionen ist ein regionales Produkt, zum Beispiel aus niederbayerischem Jurakalk, zu bevorzugen. Produkt mit Prüfsiegel des Instituts für Baubiologie Rosenheim GmbH (IBR) oder vergleichbarem Prüfsiegel.</w:t>
            </w:r>
          </w:p>
          <w:p w14:paraId="5D0231FB" w14:textId="77777777" w:rsidR="00667C69" w:rsidRDefault="00667C69" w:rsidP="00667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4455DB" w14:textId="77777777" w:rsidR="00667C69" w:rsidRPr="00667C69" w:rsidRDefault="00667C69" w:rsidP="00667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C69">
              <w:rPr>
                <w:rFonts w:ascii="Arial" w:hAnsi="Arial" w:cs="Arial"/>
                <w:sz w:val="20"/>
                <w:szCs w:val="20"/>
              </w:rPr>
              <w:t>Körnung: 0 - 0,8mm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C69">
              <w:rPr>
                <w:rFonts w:ascii="Arial" w:hAnsi="Arial" w:cs="Arial"/>
                <w:sz w:val="20"/>
                <w:szCs w:val="20"/>
              </w:rPr>
              <w:t>nicht brennbar A1, μ &lt; 15</w:t>
            </w:r>
          </w:p>
          <w:p w14:paraId="4D96D590" w14:textId="5878DB20" w:rsidR="00C151D9" w:rsidRPr="005905F0" w:rsidRDefault="00667C69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C69">
              <w:rPr>
                <w:rFonts w:ascii="Arial" w:hAnsi="Arial" w:cs="Arial"/>
                <w:sz w:val="20"/>
                <w:szCs w:val="20"/>
              </w:rPr>
              <w:t>Trockenrohdichte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67C69">
              <w:rPr>
                <w:rFonts w:ascii="Arial" w:hAnsi="Arial" w:cs="Arial"/>
                <w:sz w:val="20"/>
                <w:szCs w:val="20"/>
              </w:rPr>
              <w:t xml:space="preserve"> &lt; 1300 kg/m³</w:t>
            </w:r>
            <w:r w:rsidRPr="00667C69">
              <w:rPr>
                <w:rFonts w:ascii="Arial" w:hAnsi="Arial" w:cs="Arial"/>
                <w:sz w:val="20"/>
                <w:szCs w:val="20"/>
              </w:rPr>
              <w:br/>
            </w:r>
            <w:r w:rsidR="00C151D9" w:rsidRPr="005905F0">
              <w:rPr>
                <w:rFonts w:ascii="Arial" w:hAnsi="Arial" w:cs="Arial"/>
                <w:sz w:val="20"/>
                <w:szCs w:val="20"/>
              </w:rPr>
              <w:t>Standzeit mind. 1 Tag/mm Putzdicke</w:t>
            </w:r>
          </w:p>
          <w:p w14:paraId="44B67B6B" w14:textId="77777777" w:rsidR="00667C69" w:rsidRPr="007A2FCF" w:rsidRDefault="00667C69" w:rsidP="00667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FCF">
              <w:rPr>
                <w:rFonts w:ascii="Arial" w:hAnsi="Arial" w:cs="Arial"/>
                <w:sz w:val="20"/>
                <w:szCs w:val="20"/>
              </w:rPr>
              <w:t>Oberflächenqualität gemäß Merkblatt "Putzoberflächen im Innenbereich":</w:t>
            </w:r>
          </w:p>
          <w:p w14:paraId="27A98A4B" w14:textId="77777777" w:rsidR="00C151D9" w:rsidRDefault="00667C69" w:rsidP="007A2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2FCF">
              <w:rPr>
                <w:rFonts w:ascii="Arial" w:hAnsi="Arial" w:cs="Arial"/>
                <w:sz w:val="20"/>
                <w:szCs w:val="20"/>
              </w:rPr>
              <w:t>Putzgrund: Vorgelegter Kalkputz als Haftbrücke</w:t>
            </w:r>
          </w:p>
          <w:p w14:paraId="78533F18" w14:textId="77777777" w:rsidR="00740F20" w:rsidRPr="005905F0" w:rsidRDefault="00740F20" w:rsidP="007A2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35F946" w14:textId="77777777" w:rsidR="00740F20" w:rsidRDefault="00740F20" w:rsidP="00740F2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3E5098B1" w14:textId="77777777" w:rsidR="00740F20" w:rsidRPr="005905F0" w:rsidRDefault="00740F20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1A5F99" w14:textId="77777777" w:rsidR="00C151D9" w:rsidRPr="005905F0" w:rsidRDefault="00C151D9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90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Produkt: RYGOL Kalkputz Terra KP Terra</w:t>
            </w:r>
          </w:p>
          <w:p w14:paraId="70D24014" w14:textId="77777777" w:rsidR="00C151D9" w:rsidRPr="005905F0" w:rsidRDefault="00C151D9" w:rsidP="00942ED9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de-DE"/>
              </w:rPr>
            </w:pPr>
          </w:p>
          <w:p w14:paraId="4CF134C1" w14:textId="77777777" w:rsidR="00C151D9" w:rsidRPr="005905F0" w:rsidRDefault="00C151D9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5905F0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Einheit:</w:t>
            </w:r>
            <w:r w:rsidRPr="005905F0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ab/>
              <w:t>m²</w:t>
            </w:r>
          </w:p>
          <w:p w14:paraId="5C81A2C2" w14:textId="77777777" w:rsidR="00C151D9" w:rsidRPr="005905F0" w:rsidRDefault="00C151D9" w:rsidP="00942ED9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</w:p>
          <w:p w14:paraId="744DD3BA" w14:textId="77777777" w:rsidR="00C151D9" w:rsidRPr="005905F0" w:rsidRDefault="00C151D9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05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5905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5905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68C06BF2" w14:textId="77777777" w:rsidR="00C151D9" w:rsidRPr="005905F0" w:rsidRDefault="00C151D9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905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25DB2287" w14:textId="77777777" w:rsidTr="00942ED9">
        <w:tc>
          <w:tcPr>
            <w:tcW w:w="7054" w:type="dxa"/>
          </w:tcPr>
          <w:p w14:paraId="6DC35758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79FACEC4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62C8491E" w14:textId="77777777" w:rsidR="007F0DBD" w:rsidRPr="005A72BF" w:rsidRDefault="007F0DBD" w:rsidP="001677C4"/>
    <w:sectPr w:rsidR="007F0DBD" w:rsidRPr="005A72BF" w:rsidSect="007C4A2E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4FBB" w14:textId="77777777" w:rsidR="007C4A2E" w:rsidRDefault="007C4A2E" w:rsidP="004D2E88">
      <w:pPr>
        <w:spacing w:after="0" w:line="240" w:lineRule="auto"/>
      </w:pPr>
      <w:r>
        <w:separator/>
      </w:r>
    </w:p>
  </w:endnote>
  <w:endnote w:type="continuationSeparator" w:id="0">
    <w:p w14:paraId="1AEF4758" w14:textId="77777777" w:rsidR="007C4A2E" w:rsidRDefault="007C4A2E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70B0" w14:textId="77777777" w:rsidR="007C4A2E" w:rsidRDefault="007C4A2E" w:rsidP="004D2E88">
      <w:pPr>
        <w:spacing w:after="0" w:line="240" w:lineRule="auto"/>
      </w:pPr>
      <w:r>
        <w:separator/>
      </w:r>
    </w:p>
  </w:footnote>
  <w:footnote w:type="continuationSeparator" w:id="0">
    <w:p w14:paraId="4DE7BF06" w14:textId="77777777" w:rsidR="007C4A2E" w:rsidRDefault="007C4A2E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106F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110EA525" wp14:editId="79E243EB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346D8"/>
    <w:rsid w:val="002539D6"/>
    <w:rsid w:val="002B4AAC"/>
    <w:rsid w:val="002C1A10"/>
    <w:rsid w:val="002D5A56"/>
    <w:rsid w:val="00316534"/>
    <w:rsid w:val="00385A51"/>
    <w:rsid w:val="003C5979"/>
    <w:rsid w:val="003D7B4B"/>
    <w:rsid w:val="00415D22"/>
    <w:rsid w:val="004666D7"/>
    <w:rsid w:val="004B05D6"/>
    <w:rsid w:val="004B7FBB"/>
    <w:rsid w:val="004D2E88"/>
    <w:rsid w:val="005258F9"/>
    <w:rsid w:val="00585A67"/>
    <w:rsid w:val="005905F0"/>
    <w:rsid w:val="0059342B"/>
    <w:rsid w:val="005A5E93"/>
    <w:rsid w:val="005A72BF"/>
    <w:rsid w:val="005C1CF1"/>
    <w:rsid w:val="005C45B2"/>
    <w:rsid w:val="005F7C84"/>
    <w:rsid w:val="00605138"/>
    <w:rsid w:val="0062663A"/>
    <w:rsid w:val="00667C69"/>
    <w:rsid w:val="0068554F"/>
    <w:rsid w:val="00714B9B"/>
    <w:rsid w:val="0072353A"/>
    <w:rsid w:val="00740F20"/>
    <w:rsid w:val="00745A85"/>
    <w:rsid w:val="007812CF"/>
    <w:rsid w:val="007A2FCF"/>
    <w:rsid w:val="007A704A"/>
    <w:rsid w:val="007C4A2E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B37D68"/>
    <w:rsid w:val="00B52AE6"/>
    <w:rsid w:val="00B5597D"/>
    <w:rsid w:val="00BB4CFE"/>
    <w:rsid w:val="00C151D9"/>
    <w:rsid w:val="00C23BFC"/>
    <w:rsid w:val="00CE0F6F"/>
    <w:rsid w:val="00D65E6A"/>
    <w:rsid w:val="00D875C0"/>
    <w:rsid w:val="00DB7720"/>
    <w:rsid w:val="00DC4D42"/>
    <w:rsid w:val="00DD517F"/>
    <w:rsid w:val="00DD58DF"/>
    <w:rsid w:val="00DE56CA"/>
    <w:rsid w:val="00E43936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21C44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81C7-97F1-46D1-87A9-9A6CC19B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2024-02-22T11:17:00Z</dcterms:created>
  <dcterms:modified xsi:type="dcterms:W3CDTF">2024-02-22T11:17:00Z</dcterms:modified>
</cp:coreProperties>
</file>