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A21DD" w:rsidTr="004A21DD">
        <w:tc>
          <w:tcPr>
            <w:tcW w:w="7054" w:type="dxa"/>
          </w:tcPr>
          <w:p w:rsidR="004A21DD" w:rsidRPr="000B6594" w:rsidRDefault="004A21DD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8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Stoßbelastete Innenwandbereiche</w:t>
            </w:r>
            <w:bookmarkEnd w:id="1"/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Einbau eines alkalibestä</w:t>
            </w:r>
            <w:r>
              <w:rPr>
                <w:rFonts w:ascii="Arial" w:hAnsi="Arial" w:cs="Arial"/>
                <w:sz w:val="20"/>
                <w:szCs w:val="20"/>
              </w:rPr>
              <w:t xml:space="preserve">ndigen Panzerarmierungsgewebes </w:t>
            </w:r>
            <w:r w:rsidRPr="000B6594">
              <w:rPr>
                <w:rFonts w:ascii="Arial" w:hAnsi="Arial" w:cs="Arial"/>
                <w:sz w:val="20"/>
                <w:szCs w:val="20"/>
              </w:rPr>
              <w:t>als Zusatzarmierung, S</w:t>
            </w:r>
            <w:r>
              <w:rPr>
                <w:rFonts w:ascii="Arial" w:hAnsi="Arial" w:cs="Arial"/>
                <w:sz w:val="20"/>
                <w:szCs w:val="20"/>
              </w:rPr>
              <w:t xml:space="preserve">toß an Stoß (nicht überlappen!) </w:t>
            </w:r>
            <w:r w:rsidRPr="000B6594">
              <w:rPr>
                <w:rFonts w:ascii="Arial" w:hAnsi="Arial" w:cs="Arial"/>
                <w:sz w:val="20"/>
                <w:szCs w:val="20"/>
              </w:rPr>
              <w:t>Die Panzerarmierung wird als</w:t>
            </w:r>
            <w:r>
              <w:rPr>
                <w:rFonts w:ascii="Arial" w:hAnsi="Arial" w:cs="Arial"/>
                <w:sz w:val="20"/>
                <w:szCs w:val="20"/>
              </w:rPr>
              <w:t xml:space="preserve"> zusätzliche Gewebespachtelung </w:t>
            </w:r>
            <w:r w:rsidRPr="000B6594">
              <w:rPr>
                <w:rFonts w:ascii="Arial" w:hAnsi="Arial" w:cs="Arial"/>
                <w:sz w:val="20"/>
                <w:szCs w:val="20"/>
              </w:rPr>
              <w:t>unterhalb der normalen Armierungsschicht in SAKRE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D7D96">
              <w:rPr>
                <w:rFonts w:ascii="Arial" w:hAnsi="Arial" w:cs="Arial"/>
                <w:sz w:val="20"/>
                <w:szCs w:val="20"/>
              </w:rPr>
              <w:t xml:space="preserve"> Leichtmörtel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eingebettet.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Armierungsmörtel ist anzurauen. </w:t>
            </w:r>
            <w:r w:rsidRPr="000B6594">
              <w:rPr>
                <w:rFonts w:ascii="Arial" w:hAnsi="Arial" w:cs="Arial"/>
                <w:sz w:val="20"/>
                <w:szCs w:val="20"/>
              </w:rPr>
              <w:t>Vor dem Auftragen der vollfläc</w:t>
            </w:r>
            <w:r>
              <w:rPr>
                <w:rFonts w:ascii="Arial" w:hAnsi="Arial" w:cs="Arial"/>
                <w:sz w:val="20"/>
                <w:szCs w:val="20"/>
              </w:rPr>
              <w:t xml:space="preserve">higen Systemarmierung muss die </w:t>
            </w:r>
            <w:r w:rsidRPr="000B6594">
              <w:rPr>
                <w:rFonts w:ascii="Arial" w:hAnsi="Arial" w:cs="Arial"/>
                <w:sz w:val="20"/>
                <w:szCs w:val="20"/>
              </w:rPr>
              <w:t>Panzerarmierung durchgetrocknet sein.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8E3">
              <w:rPr>
                <w:rFonts w:ascii="Arial" w:hAnsi="Arial" w:cs="Arial"/>
                <w:sz w:val="20"/>
                <w:szCs w:val="20"/>
                <w:u w:val="single"/>
              </w:rPr>
              <w:t>Hinweis</w:t>
            </w:r>
            <w:r w:rsidRPr="000B6594">
              <w:rPr>
                <w:rFonts w:ascii="Arial" w:hAnsi="Arial" w:cs="Arial"/>
                <w:sz w:val="20"/>
                <w:szCs w:val="20"/>
              </w:rPr>
              <w:t>: Panzerarmierungen w</w:t>
            </w:r>
            <w:r>
              <w:rPr>
                <w:rFonts w:ascii="Arial" w:hAnsi="Arial" w:cs="Arial"/>
                <w:sz w:val="20"/>
                <w:szCs w:val="20"/>
              </w:rPr>
              <w:t xml:space="preserve">erden stets vor dem Setzen des </w:t>
            </w:r>
            <w:r w:rsidRPr="000B659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antenschutzes und den Dehnfugen</w:t>
            </w:r>
            <w:r w:rsidRPr="000B6594">
              <w:rPr>
                <w:rFonts w:ascii="Arial" w:hAnsi="Arial" w:cs="Arial"/>
                <w:sz w:val="20"/>
                <w:szCs w:val="20"/>
              </w:rPr>
              <w:t>profilen ausgeführt.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8172B7" w:rsidRDefault="004A21DD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8172B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ab/>
              <w:t>SAKRET Panzergewebe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Default="004A21DD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A21DD" w:rsidRDefault="004A21DD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8172B7" w:rsidRDefault="004A21DD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4A21DD" w:rsidRDefault="004A21D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A21DD" w:rsidTr="00DF6F67">
        <w:tc>
          <w:tcPr>
            <w:tcW w:w="7054" w:type="dxa"/>
          </w:tcPr>
          <w:p w:rsidR="004A21DD" w:rsidRPr="005854D8" w:rsidRDefault="004A21DD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A21DD" w:rsidRDefault="004A21D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DD" w:rsidTr="00DF6F67">
        <w:tc>
          <w:tcPr>
            <w:tcW w:w="7054" w:type="dxa"/>
          </w:tcPr>
          <w:p w:rsidR="004A21DD" w:rsidRPr="000B6594" w:rsidRDefault="004A21DD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Toc228699339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Hoch sto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ßbelastete Innenwandbereiche – </w:t>
            </w:r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Verkleidung mit Gipsfaserplatten</w:t>
            </w:r>
            <w:bookmarkEnd w:id="2"/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Wandbekleidung auf Calciums</w:t>
            </w:r>
            <w:r>
              <w:rPr>
                <w:rFonts w:ascii="Arial" w:hAnsi="Arial" w:cs="Arial"/>
                <w:sz w:val="20"/>
                <w:szCs w:val="20"/>
              </w:rPr>
              <w:t xml:space="preserve">ilikat-Dämmplatten aufbringen </w:t>
            </w:r>
            <w:r w:rsidRPr="000B6594">
              <w:rPr>
                <w:rFonts w:ascii="Arial" w:hAnsi="Arial" w:cs="Arial"/>
                <w:sz w:val="20"/>
                <w:szCs w:val="20"/>
              </w:rPr>
              <w:t>und in rückwärtige, tragende Wand mechanisch befestigen.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Bauart: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6594">
              <w:rPr>
                <w:rFonts w:ascii="Arial" w:hAnsi="Arial" w:cs="Arial"/>
                <w:sz w:val="20"/>
                <w:szCs w:val="20"/>
              </w:rPr>
              <w:t>Einseitig raumseitig einlagig beplankte Holzu</w:t>
            </w:r>
            <w:r>
              <w:rPr>
                <w:rFonts w:ascii="Arial" w:hAnsi="Arial" w:cs="Arial"/>
                <w:sz w:val="20"/>
                <w:szCs w:val="20"/>
              </w:rPr>
              <w:t xml:space="preserve">nterkonstruktion aus Nadelholz: </w:t>
            </w:r>
            <w:r w:rsidRPr="000B6594">
              <w:rPr>
                <w:rFonts w:ascii="Arial" w:hAnsi="Arial" w:cs="Arial"/>
                <w:sz w:val="20"/>
                <w:szCs w:val="20"/>
              </w:rPr>
              <w:t>S 10 (GK II) 30/50 mm.</w:t>
            </w:r>
          </w:p>
          <w:p w:rsidR="004A21DD" w:rsidRPr="000B6594" w:rsidRDefault="004A21DD" w:rsidP="00DF6F67">
            <w:pPr>
              <w:widowControl w:val="0"/>
              <w:tabs>
                <w:tab w:val="left" w:pos="1276"/>
              </w:tabs>
              <w:spacing w:after="0" w:line="240" w:lineRule="auto"/>
              <w:ind w:left="1276" w:hanging="1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B6594">
              <w:rPr>
                <w:rFonts w:ascii="Arial" w:hAnsi="Arial" w:cs="Arial"/>
                <w:sz w:val="20"/>
                <w:szCs w:val="20"/>
              </w:rPr>
              <w:t>42,5 mm</w:t>
            </w:r>
          </w:p>
          <w:p w:rsidR="004A21DD" w:rsidRPr="000B6594" w:rsidRDefault="004A21DD" w:rsidP="00DF6F67">
            <w:pPr>
              <w:widowControl w:val="0"/>
              <w:tabs>
                <w:tab w:val="left" w:pos="1276"/>
              </w:tabs>
              <w:spacing w:after="0" w:line="240" w:lineRule="auto"/>
              <w:ind w:left="1276" w:hanging="1276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Einbauh</w:t>
            </w:r>
            <w:r>
              <w:rPr>
                <w:rFonts w:ascii="Arial" w:hAnsi="Arial" w:cs="Arial"/>
                <w:sz w:val="20"/>
                <w:szCs w:val="20"/>
              </w:rPr>
              <w:t>öhe: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8A7">
              <w:rPr>
                <w:rFonts w:ascii="Arial" w:hAnsi="Arial" w:cs="Arial"/>
                <w:sz w:val="20"/>
                <w:szCs w:val="20"/>
              </w:rPr>
            </w:r>
            <w:r w:rsidR="003B6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800 cm (Einbaubereich I)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8A7">
              <w:rPr>
                <w:rFonts w:ascii="Arial" w:hAnsi="Arial" w:cs="Arial"/>
                <w:sz w:val="20"/>
                <w:szCs w:val="20"/>
              </w:rPr>
            </w:r>
            <w:r w:rsidR="003B6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800 cm (Einbaubereich II)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Beplankung raumseitig: 12,5 mm Gip</w:t>
            </w:r>
            <w:r>
              <w:rPr>
                <w:rFonts w:ascii="Arial" w:hAnsi="Arial" w:cs="Arial"/>
                <w:sz w:val="20"/>
                <w:szCs w:val="20"/>
              </w:rPr>
              <w:t xml:space="preserve">sfaserplatten. Befestigung mit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verzinkten und geharzten </w:t>
            </w:r>
            <w:r>
              <w:rPr>
                <w:rFonts w:ascii="Arial" w:hAnsi="Arial" w:cs="Arial"/>
                <w:sz w:val="20"/>
                <w:szCs w:val="20"/>
              </w:rPr>
              <w:t xml:space="preserve">Klammern 1,5 x 10 x 38 mm oder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Schnellbauschrauben 3,9 x 30 mm an der Unterkonstruktion. </w:t>
            </w:r>
          </w:p>
          <w:p w:rsidR="004A21DD" w:rsidRPr="00977293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Plattenstöße als Kle</w:t>
            </w:r>
            <w:r>
              <w:rPr>
                <w:rFonts w:ascii="Arial" w:hAnsi="Arial" w:cs="Arial"/>
                <w:sz w:val="20"/>
                <w:szCs w:val="20"/>
              </w:rPr>
              <w:t>be- oder Spachtelfuge ausbilden. G</w:t>
            </w:r>
            <w:r w:rsidRPr="000B6594">
              <w:rPr>
                <w:rFonts w:ascii="Arial" w:hAnsi="Arial" w:cs="Arial"/>
                <w:sz w:val="20"/>
                <w:szCs w:val="20"/>
              </w:rPr>
              <w:t>ipsfaserplatten Wandbekleidung entsprechend den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0B6594">
              <w:rPr>
                <w:rFonts w:ascii="Arial" w:hAnsi="Arial" w:cs="Arial"/>
                <w:sz w:val="20"/>
                <w:szCs w:val="20"/>
              </w:rPr>
              <w:t>erstellervorschriften einschl. aller Materialien, Anschlussdichtungen und Befestigungsmittel liefern und montieren, sowie Verspachtelung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0B6594">
              <w:rPr>
                <w:rFonts w:ascii="Arial" w:hAnsi="Arial" w:cs="Arial"/>
                <w:sz w:val="20"/>
                <w:szCs w:val="20"/>
              </w:rPr>
              <w:t>er Fugen der äußeren Plattenlage und der sichtbaren Befestigungsmittel.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8172B7" w:rsidRDefault="004A21DD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8172B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8172B7">
              <w:rPr>
                <w:rFonts w:ascii="Arial" w:hAnsi="Arial" w:cs="Arial"/>
                <w:b/>
                <w:sz w:val="20"/>
                <w:szCs w:val="20"/>
              </w:rPr>
              <w:tab/>
              <w:t>FERMACELL Wandbekleidung 3 WH 01 oder gleichwertig</w:t>
            </w:r>
          </w:p>
          <w:p w:rsidR="004A21DD" w:rsidRPr="000B6594" w:rsidRDefault="004A21D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Default="004A21DD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A21DD" w:rsidRDefault="004A21DD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21DD" w:rsidRPr="008172B7" w:rsidRDefault="004A21DD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4A21DD" w:rsidRDefault="004A21D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A21DD" w:rsidTr="00DF6F67">
        <w:tc>
          <w:tcPr>
            <w:tcW w:w="7054" w:type="dxa"/>
          </w:tcPr>
          <w:p w:rsidR="004A21DD" w:rsidRDefault="004A21DD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A21DD" w:rsidRDefault="004A21D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3B68A7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45EF4"/>
    <w:rsid w:val="001670BB"/>
    <w:rsid w:val="001C3B24"/>
    <w:rsid w:val="001D5431"/>
    <w:rsid w:val="00220386"/>
    <w:rsid w:val="0025010B"/>
    <w:rsid w:val="0025465F"/>
    <w:rsid w:val="002C0D62"/>
    <w:rsid w:val="003B68A7"/>
    <w:rsid w:val="004A21DD"/>
    <w:rsid w:val="004D2E88"/>
    <w:rsid w:val="00522262"/>
    <w:rsid w:val="00605138"/>
    <w:rsid w:val="0068554F"/>
    <w:rsid w:val="00697ED1"/>
    <w:rsid w:val="008E08CD"/>
    <w:rsid w:val="009406AE"/>
    <w:rsid w:val="00942A7A"/>
    <w:rsid w:val="009C7DBB"/>
    <w:rsid w:val="00AA5671"/>
    <w:rsid w:val="00B352E1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2362AE-EDDB-4A99-89F5-2140298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2015-06-25T10:24:00Z</dcterms:created>
  <dcterms:modified xsi:type="dcterms:W3CDTF">2022-03-14T12:12:00Z</dcterms:modified>
</cp:coreProperties>
</file>