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EC0754" w:rsidTr="00DF6F67">
        <w:tc>
          <w:tcPr>
            <w:tcW w:w="7054" w:type="dxa"/>
          </w:tcPr>
          <w:p w:rsidR="00EC0754" w:rsidRPr="000B6594" w:rsidRDefault="00EC0754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22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Untergrundvorbehandlung</w:t>
            </w:r>
            <w:bookmarkEnd w:id="1"/>
          </w:p>
          <w:p w:rsidR="00EC0754" w:rsidRPr="000B6594" w:rsidRDefault="00EC0754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 xml:space="preserve">Nichttragfähige </w:t>
            </w:r>
            <w:proofErr w:type="spellStart"/>
            <w:r w:rsidRPr="000B6594">
              <w:rPr>
                <w:rFonts w:ascii="Arial" w:hAnsi="Arial" w:cs="Arial"/>
                <w:sz w:val="20"/>
                <w:szCs w:val="20"/>
              </w:rPr>
              <w:t>Altputze</w:t>
            </w:r>
            <w:proofErr w:type="spellEnd"/>
            <w:r w:rsidRPr="000B6594">
              <w:rPr>
                <w:rFonts w:ascii="Arial" w:hAnsi="Arial" w:cs="Arial"/>
                <w:sz w:val="20"/>
                <w:szCs w:val="20"/>
              </w:rPr>
              <w:t xml:space="preserve"> sind abzutragen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Altputzreste </w:t>
            </w:r>
            <w:r w:rsidRPr="000B6594">
              <w:rPr>
                <w:rFonts w:ascii="Arial" w:hAnsi="Arial" w:cs="Arial"/>
                <w:sz w:val="20"/>
                <w:szCs w:val="20"/>
              </w:rPr>
              <w:t>fachgerecht zu entsorgen. Betongrate sind zu entfernen. Freigelegte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>Flächen mit Stahlbesen oder geeigneten Verfahren von Putzresten und haftungsmindernden Stoffen restlos säubern. Für den Verbleib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Gipsputz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B6594">
              <w:rPr>
                <w:rFonts w:ascii="Arial" w:hAnsi="Arial" w:cs="Arial"/>
                <w:sz w:val="20"/>
                <w:szCs w:val="20"/>
              </w:rPr>
              <w:t>gipshaltigen Putzen als tragfähiger Untergrund ist das Technisches Merkblat</w:t>
            </w:r>
            <w:r>
              <w:rPr>
                <w:rFonts w:ascii="Arial" w:hAnsi="Arial" w:cs="Arial"/>
                <w:sz w:val="20"/>
                <w:szCs w:val="20"/>
              </w:rPr>
              <w:t>t: „Verarbeitung auf Gipsputzen/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gipshaltigen Putzen“ zwingend zu beachten. </w:t>
            </w: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0B6594" w:rsidRDefault="00EC0754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Unebenheiten von __________ mm bis ___________ mm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0B6594"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Default="00EC0754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EC0754" w:rsidRDefault="00EC0754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Default="00EC0754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EC0754" w:rsidRDefault="00EC075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C0754" w:rsidTr="00DF6F67">
        <w:tc>
          <w:tcPr>
            <w:tcW w:w="7054" w:type="dxa"/>
          </w:tcPr>
          <w:p w:rsidR="00EC0754" w:rsidRDefault="00EC0754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C0754" w:rsidRDefault="00EC075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754" w:rsidTr="00EC0754">
        <w:tc>
          <w:tcPr>
            <w:tcW w:w="7054" w:type="dxa"/>
          </w:tcPr>
          <w:p w:rsidR="00EC0754" w:rsidRPr="000B6594" w:rsidRDefault="00EC0754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Toc228699323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Untergrundvorbehandlung</w:t>
            </w:r>
            <w:bookmarkEnd w:id="2"/>
          </w:p>
          <w:p w:rsidR="00EC0754" w:rsidRPr="000B6594" w:rsidRDefault="00EC0754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 xml:space="preserve">Um die RYGOL Calciumsilikat-Dämmplatten </w:t>
            </w:r>
            <w:r w:rsidRPr="00D62B97">
              <w:rPr>
                <w:rFonts w:ascii="Arial" w:hAnsi="Arial" w:cs="Arial"/>
                <w:sz w:val="20"/>
                <w:szCs w:val="20"/>
              </w:rPr>
              <w:t>vollflächig</w:t>
            </w:r>
            <w:r>
              <w:rPr>
                <w:rFonts w:ascii="Arial" w:hAnsi="Arial" w:cs="Arial"/>
                <w:sz w:val="20"/>
                <w:szCs w:val="20"/>
              </w:rPr>
              <w:t xml:space="preserve"> auf den zu dämmenden </w:t>
            </w:r>
            <w:r w:rsidRPr="000B6594">
              <w:rPr>
                <w:rFonts w:ascii="Arial" w:hAnsi="Arial" w:cs="Arial"/>
                <w:sz w:val="20"/>
                <w:szCs w:val="20"/>
              </w:rPr>
              <w:t>massiven Wandflächen (keine Trockenbaukonstr</w:t>
            </w:r>
            <w:r>
              <w:rPr>
                <w:rFonts w:ascii="Arial" w:hAnsi="Arial" w:cs="Arial"/>
                <w:sz w:val="20"/>
                <w:szCs w:val="20"/>
              </w:rPr>
              <w:t xml:space="preserve">uktionen) verkleben zu können, </w:t>
            </w:r>
            <w:r w:rsidRPr="000B6594">
              <w:rPr>
                <w:rFonts w:ascii="Arial" w:hAnsi="Arial" w:cs="Arial"/>
                <w:sz w:val="20"/>
                <w:szCs w:val="20"/>
              </w:rPr>
              <w:t>sind Putzfehlstellen und Unebenheiten m</w:t>
            </w:r>
            <w:r>
              <w:rPr>
                <w:rFonts w:ascii="Arial" w:hAnsi="Arial" w:cs="Arial"/>
                <w:sz w:val="20"/>
                <w:szCs w:val="20"/>
              </w:rPr>
              <w:t xml:space="preserve">ittels eines Kalk-Zementputzes </w:t>
            </w:r>
            <w:r w:rsidRPr="000B6594">
              <w:rPr>
                <w:rFonts w:ascii="Arial" w:hAnsi="Arial" w:cs="Arial"/>
                <w:sz w:val="20"/>
                <w:szCs w:val="20"/>
              </w:rPr>
              <w:t>auszugleichen. Putz</w:t>
            </w:r>
            <w:r>
              <w:rPr>
                <w:rFonts w:ascii="Arial" w:hAnsi="Arial" w:cs="Arial"/>
                <w:sz w:val="20"/>
                <w:szCs w:val="20"/>
              </w:rPr>
              <w:t>kategorie CS II nach DIN EN 998</w:t>
            </w: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0B659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(Ebenheitstoleranzen in der Fläche von 3 bis 5 mm pro </w:t>
            </w:r>
            <w:proofErr w:type="spellStart"/>
            <w:r w:rsidRPr="000B6594"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  <w:r w:rsidRPr="000B6594">
              <w:rPr>
                <w:rFonts w:ascii="Arial" w:hAnsi="Arial" w:cs="Arial"/>
                <w:sz w:val="20"/>
                <w:szCs w:val="20"/>
              </w:rPr>
              <w:t xml:space="preserve"> sind zulässig). </w:t>
            </w: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Bei aufgebrachten Putzausgleichsschic</w:t>
            </w:r>
            <w:r>
              <w:rPr>
                <w:rFonts w:ascii="Arial" w:hAnsi="Arial" w:cs="Arial"/>
                <w:sz w:val="20"/>
                <w:szCs w:val="20"/>
              </w:rPr>
              <w:t xml:space="preserve">hten sind die Trocknungszeiten </w:t>
            </w:r>
            <w:r w:rsidRPr="000B6594">
              <w:rPr>
                <w:rFonts w:ascii="Arial" w:hAnsi="Arial" w:cs="Arial"/>
                <w:sz w:val="20"/>
                <w:szCs w:val="20"/>
              </w:rPr>
              <w:t>nach DIN V 18550 einzuhalten.</w:t>
            </w: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0B6594" w:rsidRDefault="00EC0754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Unebenheiten von __________ mm bis ___________ mm pro </w:t>
            </w:r>
          </w:p>
          <w:p w:rsidR="00EC0754" w:rsidRPr="000B6594" w:rsidRDefault="00EC0754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754" w:rsidRPr="000B6594" w:rsidRDefault="00EC0754" w:rsidP="00DF6F67">
            <w:pPr>
              <w:widowControl w:val="0"/>
              <w:tabs>
                <w:tab w:val="left" w:pos="1125"/>
                <w:tab w:val="left" w:leader="underscore" w:pos="6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Default="00EC0754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EC0754" w:rsidRDefault="00EC0754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5C7D35" w:rsidRDefault="00EC0754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EC0754" w:rsidRDefault="00EC075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C0754" w:rsidTr="00DF6F67">
        <w:tc>
          <w:tcPr>
            <w:tcW w:w="7054" w:type="dxa"/>
          </w:tcPr>
          <w:p w:rsidR="00EC0754" w:rsidRPr="005854D8" w:rsidRDefault="00EC0754" w:rsidP="00DF6F6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C0754" w:rsidRDefault="00EC075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754" w:rsidTr="00DF6F67">
        <w:tc>
          <w:tcPr>
            <w:tcW w:w="7054" w:type="dxa"/>
          </w:tcPr>
          <w:p w:rsidR="00EC0754" w:rsidRPr="000B6594" w:rsidRDefault="00EC0754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Toc228699324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Untergrundvorbehandlung</w:t>
            </w:r>
            <w:bookmarkEnd w:id="3"/>
          </w:p>
          <w:p w:rsidR="00EC0754" w:rsidRPr="000B6594" w:rsidRDefault="00EC0754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Trennschichten (z.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>B. Farb</w:t>
            </w:r>
            <w:r>
              <w:rPr>
                <w:rFonts w:ascii="Arial" w:hAnsi="Arial" w:cs="Arial"/>
                <w:sz w:val="20"/>
                <w:szCs w:val="20"/>
              </w:rPr>
              <w:t xml:space="preserve">en, Tapeten,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Schalöl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o. ä.) von behandelten Wand</w:t>
            </w: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0B659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Deckenflächen unter Verwendung </w:t>
            </w:r>
            <w:r w:rsidRPr="000B6594">
              <w:rPr>
                <w:rFonts w:ascii="Arial" w:hAnsi="Arial" w:cs="Arial"/>
                <w:sz w:val="20"/>
                <w:szCs w:val="20"/>
              </w:rPr>
              <w:t>von geeigneten Reinig</w:t>
            </w:r>
            <w:r>
              <w:rPr>
                <w:rFonts w:ascii="Arial" w:hAnsi="Arial" w:cs="Arial"/>
                <w:sz w:val="20"/>
                <w:szCs w:val="20"/>
              </w:rPr>
              <w:t>ungsmitteln/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Verfahren säubern. </w:t>
            </w:r>
            <w:r w:rsidRPr="000B6594">
              <w:rPr>
                <w:rFonts w:ascii="Arial" w:hAnsi="Arial" w:cs="Arial"/>
                <w:sz w:val="20"/>
                <w:szCs w:val="20"/>
              </w:rPr>
              <w:t>Abfälle fachgerecht auffangen und fachgerecht entsorgen.</w:t>
            </w: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0B6594" w:rsidRDefault="00EC0754" w:rsidP="00DF6F67">
            <w:pPr>
              <w:widowControl w:val="0"/>
              <w:tabs>
                <w:tab w:val="left" w:pos="1125"/>
                <w:tab w:val="left" w:leader="underscore" w:pos="6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Produ</w:t>
            </w:r>
            <w:r>
              <w:rPr>
                <w:rFonts w:ascii="Arial" w:hAnsi="Arial" w:cs="Arial"/>
                <w:sz w:val="20"/>
                <w:szCs w:val="20"/>
              </w:rPr>
              <w:t>kt: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Default="00EC0754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EC0754" w:rsidRDefault="00EC0754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AC6352" w:rsidRDefault="00EC0754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EC0754" w:rsidRDefault="00EC075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C0754" w:rsidTr="00DF6F67">
        <w:tc>
          <w:tcPr>
            <w:tcW w:w="7054" w:type="dxa"/>
          </w:tcPr>
          <w:p w:rsidR="00EC0754" w:rsidRDefault="00EC0754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C0754" w:rsidRDefault="00EC075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754" w:rsidRDefault="00EC0754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EC0754" w:rsidTr="00DF6F67">
        <w:tc>
          <w:tcPr>
            <w:tcW w:w="7054" w:type="dxa"/>
          </w:tcPr>
          <w:p w:rsidR="00EC0754" w:rsidRPr="000B6594" w:rsidRDefault="00EC0754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Untergrundverfestigung</w:t>
            </w:r>
          </w:p>
          <w:p w:rsidR="00EC0754" w:rsidRPr="000B6594" w:rsidRDefault="00EC0754" w:rsidP="00DF6F67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Kreidende und sandende minera</w:t>
            </w:r>
            <w:r>
              <w:rPr>
                <w:rFonts w:ascii="Arial" w:hAnsi="Arial" w:cs="Arial"/>
                <w:sz w:val="20"/>
                <w:szCs w:val="20"/>
              </w:rPr>
              <w:t xml:space="preserve">lische oder dispersionshaltige </w:t>
            </w:r>
            <w:r w:rsidRPr="000B6594">
              <w:rPr>
                <w:rFonts w:ascii="Arial" w:hAnsi="Arial" w:cs="Arial"/>
                <w:sz w:val="20"/>
                <w:szCs w:val="20"/>
              </w:rPr>
              <w:t>Untergründe mit einem lösemittelfr</w:t>
            </w:r>
            <w:r>
              <w:rPr>
                <w:rFonts w:ascii="Arial" w:hAnsi="Arial" w:cs="Arial"/>
                <w:sz w:val="20"/>
                <w:szCs w:val="20"/>
              </w:rPr>
              <w:t xml:space="preserve">eien Produkt auf Kunstharzbasis </w:t>
            </w:r>
            <w:r w:rsidRPr="000B6594">
              <w:rPr>
                <w:rFonts w:ascii="Arial" w:hAnsi="Arial" w:cs="Arial"/>
                <w:sz w:val="20"/>
                <w:szCs w:val="20"/>
              </w:rPr>
              <w:t>nach Herstellervorschrift festigen.</w:t>
            </w:r>
          </w:p>
          <w:p w:rsidR="00EC0754" w:rsidRPr="000B6594" w:rsidRDefault="00EC0754" w:rsidP="00DF6F67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AC6352" w:rsidRDefault="00EC0754" w:rsidP="00DF6F67">
            <w:pPr>
              <w:widowControl w:val="0"/>
              <w:tabs>
                <w:tab w:val="left" w:pos="1110"/>
              </w:tabs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352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AC6352">
              <w:rPr>
                <w:rFonts w:ascii="Arial" w:hAnsi="Arial" w:cs="Arial"/>
                <w:b/>
                <w:sz w:val="20"/>
                <w:szCs w:val="20"/>
              </w:rPr>
              <w:tab/>
              <w:t>SAKRET Tiefengrund TGW</w:t>
            </w:r>
          </w:p>
          <w:p w:rsidR="00EC0754" w:rsidRPr="000B6594" w:rsidRDefault="00EC0754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754" w:rsidRDefault="00EC0754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EC0754" w:rsidRDefault="00EC0754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AC6352" w:rsidRDefault="00EC0754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EC0754" w:rsidRDefault="00EC075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C0754" w:rsidTr="00DF6F67">
        <w:tc>
          <w:tcPr>
            <w:tcW w:w="7054" w:type="dxa"/>
          </w:tcPr>
          <w:p w:rsidR="00EC0754" w:rsidRDefault="00EC0754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C0754" w:rsidRDefault="00EC075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154DB1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1371D5"/>
    <w:rsid w:val="00154DB1"/>
    <w:rsid w:val="001D5431"/>
    <w:rsid w:val="0025465F"/>
    <w:rsid w:val="004D2E88"/>
    <w:rsid w:val="00605138"/>
    <w:rsid w:val="0068554F"/>
    <w:rsid w:val="008F7117"/>
    <w:rsid w:val="009C7DBB"/>
    <w:rsid w:val="00AA5671"/>
    <w:rsid w:val="00B352E1"/>
    <w:rsid w:val="00DC4D42"/>
    <w:rsid w:val="00DD34A7"/>
    <w:rsid w:val="00DD517F"/>
    <w:rsid w:val="00EC0754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60CDE11-4822-4847-9F1A-CD7DA7AB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2015-06-25T09:51:00Z</dcterms:created>
  <dcterms:modified xsi:type="dcterms:W3CDTF">2022-03-14T12:14:00Z</dcterms:modified>
</cp:coreProperties>
</file>